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Управление и экономика фармации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и экономика фармации | Записей: 1 | Кейс: 1 | Вопросов: 12</w:t>
      </w:r>
    </w:p>
    <w:p>
      <w:r>
        <w:br w:type="page"/>
      </w:r>
    </w:p>
    <w:p>
      <w:pPr>
        <w:pStyle w:val="Heading1"/>
      </w:pPr>
      <w:r>
        <w:t>Управление и экономика фармации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аптечную организацию обратился клиент с жалобой на изжогу и просьбой продать капсулы Омепразола 10 мг. Провизор, который находился на испытательном сроке, отказала пациенту, указав, что данный препарат отпускается по рецепту врача. Посетитель начал спорить с провизором, объяснив, что приобретает препарат в другой аптеке свободно. Провизор предложила клиенту в качестве замены «Ренни», «Гастал», «Альмагель», но настояла на отказе в отпуске Омепразола. Клиент был крайне возмущен, громко возражал и сказал, что больше никогда не будет посещать данную аптеку, несмотря на то, что был постоянным клиентом.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назначении Омепразола оформляется рецептурный бланк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№ 107/у-НП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№ 107-1/у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№ 148-1/у-04 (л)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№ 148-1/у- 88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№ 107-1/у</w:t>
      </w:r>
    </w:p>
    <w:p>
      <w:pPr>
        <w:ind w:left="504"/>
      </w:pPr>
      <w:r>
        <w:rPr>
          <w:b w:val="0"/>
          <w:i/>
        </w:rPr>
        <w:t>{nbsp}11. Рецептурный бланк формы N 107-1/у оформляется при назначении:</w:t>
        <w:br/>
        <w:br/>
        <w:t>1) лекарственных препаратов, не указанных в пунктах 8, 9 настоящего Порядка;</w:t>
        <w:br/>
        <w:br/>
      </w:r>
      <w:hyperlink r:id="rId9">
        <w:r>
          <w:rPr>
            <w:color w:val="0F766E"/>
            <w:u w:val="single"/>
          </w:rPr>
          <w:t>Приказ Минздрава России от 24.11.2021 N 1094н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Срок действия рецепта в данном случае, если на нем нет дополнительных отметок врача,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 дней</w:t>
      </w:r>
    </w:p>
    <w:p>
      <w:pPr>
        <w:ind w:left="504"/>
      </w:pPr>
      <w:r>
        <w:rPr>
          <w:b w:val="0"/>
          <w:i/>
        </w:rPr>
        <w:t>{nbsp}23. Рецепты на бумажном носителе, в форме электронного документа, оформленные на рецептурном бланке формы N 107-1/у и предназначенные для отпуска лекарственных препаратов, предусмотренных пунктом 11 настоящего Порядка, действительны в течение 60 дней со дня оформления.</w:t>
        <w:br/>
        <w:br/>
      </w:r>
      <w:hyperlink r:id="rId9">
        <w:r>
          <w:rPr>
            <w:color w:val="0F766E"/>
            <w:u w:val="single"/>
          </w:rPr>
          <w:t>Приказ Минздрава России от 24.11.2021 N 1094н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документов»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Срок испытания не может превышать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месяцев</w:t>
      </w:r>
    </w:p>
    <w:p>
      <w:pPr>
        <w:ind w:left="504"/>
      </w:pPr>
      <w:r>
        <w:rPr>
          <w:b w:val="0"/>
          <w:i/>
        </w:rPr>
        <w:t>Статья 70. Испытание при приеме на работу</w:t>
        <w:br/>
        <w:br/>
        <w:t>Срок испытания не может превышать трех месяцев.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Управление и экономика фармации: учебник / под ред. И.А.Наркевича. – М.: ГЭОТАР-Медиа, 2017. – С.760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Трудовой договор вступает в силу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 дня, следующего за днем подписания трудового договора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 день до подписания трудового договора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 дня его подписания работником и работодателем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усмотрению работодателя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 дня его подписания работником и работодателем</w:t>
      </w:r>
    </w:p>
    <w:p>
      <w:pPr>
        <w:ind w:left="504"/>
      </w:pPr>
      <w:r>
        <w:rPr>
          <w:b w:val="0"/>
          <w:i/>
        </w:rPr>
        <w:t>Статья 61. Вступление трудового договора в силу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Трудовой договор вступает в силу со дня его подписания работником и работодателем, если иное не установлено настоящимКодексом, другими федеральнымизаконами, иными нормативными правовымиактамиРоссийской Федерации или трудовым договором, либо со дня фактического допущения работника к работе с ведома или по поручению работодателя или его уполномоченного на это представителя.</w:t>
        <w:br/>
        <w:br/>
        <w:t>Управление и экономика фармации: учебник / под ред. И.А. 5 Наркевича. – М.: ГЭОТАР-Медиа, 2017. – С.759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 целью привлечения внимания потребителей к препаратам «Ренни», «Гастал», «Альмагель» на витринах следует применить такой элемент маркетинговых коммуникаций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рекламу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PR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паблик рилейшнз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мерчандайзинг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мерчандайзинг</w:t>
      </w:r>
    </w:p>
    <w:p>
      <w:pPr>
        <w:ind w:left="504"/>
      </w:pPr>
      <w:r>
        <w:rPr>
          <w:b w:val="0"/>
          <w:i/>
        </w:rPr>
        <w:t>Мерчандайзинг – это маркетинг в розничной точке, состоящий из техники по размещению товара, разработки и расположения рекламных материалов на месте покупки.</w:t>
        <w:br/>
        <w:br/>
        <w:t>Менеджмент и маркетинг в фармации. Ч. ІІ. Маркетинг в фармации: учеб. для студентов вузов. – 2-е изд. / З.Н. Мнушко, Н.М. Дихтярева; Под ред. З.Н. Мнушко. – Харьков: Изд-во НФаУ: Золотые страницы, 2008. – С. 397.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Реклама рецептурных лекарственных препаратов запрещена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приказа Минздрава России от 14.01.2019 № 4н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приказа Минздравсоцразвития РФ от 23.08.2010 №706н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федерального закона от 21.11.2011 №323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федерального закона от 13.03.2006 №38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федерального закона от 13.03.2006 №38</w:t>
      </w:r>
    </w:p>
    <w:p>
      <w:pPr>
        <w:ind w:left="504"/>
      </w:pPr>
      <w:r>
        <w:rPr>
          <w:b w:val="0"/>
          <w:i/>
        </w:rPr>
        <w:t>Федеральный закон от 13.03.2006 №38 «О рекламе»</w:t>
        <w:br/>
        <w:br/>
        <w:t>Статья 24. Реклама лекарственных средств, медицинских изделий и медицинских услуг, методов профилактики, диагностики, лечения и медицинской реабилитации, методов народной медицины.</w:t>
        <w:br/>
        <w:br/>
        <w:t>П. 8. Реклама лекарственных препаратов в формах и дозировках, отпускаемых по рецептам на лекарственные препараты, методов профилактики, диагностики, лечения и медицинской реабилитации, а также медицинских изделий, для использования которых требуется специальная подготовка, не допускается иначе как в местах проведения медицинских или фармацевтических выставок, семинаров, конференций и иных подобных мероприятий и в предназначенных для медицинских и фармацевтических работников специализированных печатных изданиях.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Аптечная организация проводит оценку затрат и вклад препаратов «Ренни», «Гастал», «Альмагель» в общий объем затрат путем ранжирования ассортиментных позиций по убыванию и последующего расчета накопительного итога за 2019 г.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DDD-анализа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XYZ-анализа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АВС-анализа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VEN-анализа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АВС-анализа</w:t>
      </w:r>
    </w:p>
    <w:p>
      <w:pPr>
        <w:ind w:left="504"/>
      </w:pPr>
      <w:r>
        <w:rPr>
          <w:b w:val="0"/>
          <w:i/>
        </w:rPr>
        <w:t>Оценка затрат осуществляется с помощью АВС-анализа, при котором определяется доля каждого препарата в общем объеме затрат, осуществляется их ранжирование по убыванию, и путем расчета накопительного итога выявляются препараты, расходы на которые составляют 80% затрат (группа А), 15% (группа В) и 5% (группа С). При этом в группу А входит, как правило, не более 20% ассортимента. АВС-анализ должен проводиться регулярно, как правило, не реже 1 раза в год. АВС-анализ может использоваться при анализе потребления по торговым наименованиям, по МНН, по фармакотерапевтическим группам, внутри выбранной фармакотерапевтической группы и любым другим необходимым параметрам.</w:t>
        <w:br/>
        <w:br/>
        <w:t>Управление и экономика фармации: учебник / под ред. И.А.Наркевича. – М.: ГЭОТАР-Медиа, 2017. – С.347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Прием на работу оформляется +_______________+ работодателя, изданным на основании заключенного трудового договора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локальным нормативным актом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служебной запиской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приказом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</w:t>
      </w:r>
    </w:p>
    <w:p>
      <w:pPr>
        <w:ind w:left="504"/>
      </w:pPr>
      <w:r>
        <w:rPr>
          <w:b w:val="0"/>
          <w:i/>
        </w:rPr>
        <w:t>«Трудовой кодекс Российской Федерации» от 30.12.2001 №197-ФЗ</w:t>
        <w:br/>
        <w:br/>
        <w:t>Статья 68. Оформление приема на работу</w:t>
        <w:br/>
        <w:br/>
        <w:t>Прием на работу оформляется приказом(распоряжением) работодателя, изданным на основании заключенного трудового договора.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Работодатель обязан выдать работнику трудовую книжку, другие документы, связанные с работой, по письменному заявлению работника и произвести с ним окончательный расчет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день, указанный работником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через 2 дня после увольнения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2 дня до увольнения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последний день работы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последний день работы</w:t>
      </w:r>
    </w:p>
    <w:p>
      <w:pPr>
        <w:ind w:left="504"/>
      </w:pPr>
      <w:r>
        <w:rPr>
          <w:b w:val="0"/>
          <w:i/>
        </w:rPr>
        <w:t>По истечении срока предупреждения об увольнении работник имеет право прекратить работу. В последний день работы работодатель обязан выдать работнику трудовую книжку, другие документы, связанные с работой, по письменному заявлению работника и произвести с ним окончательный расчет.</w:t>
        <w:br/>
        <w:br/>
        <w:t>Управление и экономика фармации : учебник / под ред. И.А. Наркевича. - М. : ГЭОТАР-Медиа, 2017.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Провизор, осуществляющий отпуск лекарственных препаратов, обязан предоставить по требованию посетителя аптеки достоверную информацию о стоимости лекарственных препаратов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 Минздравсоцразвития РФ от 23.08.2010 №706н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приказа МЗ РФ № 647н от 31.08.2016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приказа Минздрава России от 14.01.2019 № 4н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№197 от 30.12.2001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приказа МЗ РФ № 647н от 31.08.2016 г</w:t>
      </w:r>
    </w:p>
    <w:p>
      <w:pPr>
        <w:ind w:left="504"/>
      </w:pPr>
      <w:r>
        <w:rPr>
          <w:b w:val="0"/>
          <w:i/>
        </w:rPr>
        <w:t>В соответствии с требованиями приказа МЗ РФ № 647н от 31.08.2016г. «Об утверждении правил надлежащей аптечной практики ЛП для медицинского применения», п. 15 к основной функции фармацевтических работников отнесено, в том числе, предоставление достоверной информации о товарах аптечного ассортимента, их стоимости, фармацевтическое консультирование.</w:t>
        <w:br/>
        <w:br/>
      </w:r>
      <w:hyperlink r:id="rId20">
        <w:r>
          <w:rPr>
            <w:color w:val="0F766E"/>
            <w:u w:val="single"/>
          </w:rPr>
          <w:t>Приказ от 31.08.2016г. № 647н "Об утверждении правил надлежащей аптечной практики лекарственных препаратов для медицинского применения".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общения с посетителем провизор долго себя упрекала в том, что не смогла разрешить конфликт и это может сказаться на решении руководства о приеме ее на работу. Данную ситуацию с позиции вовлеченности сторон можно рассматривать как _____ конфликт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межгрупповой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внутригрупповой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внутриличностный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межличностный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внутриличностный</w:t>
      </w:r>
    </w:p>
    <w:p>
      <w:pPr>
        <w:ind w:left="504"/>
      </w:pPr>
      <w:r>
        <w:rPr>
          <w:b w:val="0"/>
          <w:i/>
        </w:rPr>
        <w:t>В практике менеджмента выделяют четыре основных типа конфликтов в зависимости от вовлеченных сторон: внутриличностный, межличностный, между личностью и группой, межгрупповой. Внутриличностный конфликт, как правило, обусловлен противоречивыми требованиями по отношению к конкретному работнику в плоскости выполнения им профессиональных обязанностей. Этот тип конфликта может быть связан также с низкой степенью удовлетворенности работой, неуверенностью, перегрузкой и т.п.</w:t>
        <w:br/>
        <w:br/>
        <w:t>Управление и экономика фармации: учебник / под ред. И.А.Наркевича. – М.: ГЭОТАР-Медиа, 2017. – С.746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Работник имеет право расторгнуть трудовой договор, предупредив об этом работодателя в письменной форме не позднее, чем 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Работник имеет право расторгнуть трудовой договор, предупредив об этом работодателя в письменной форме не позднее чем за 2 недели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Управление и экономика фармации: учебник / под ред. И.А.Наркевича. – М.: ГЭОТАР-Медиа, 2017</w:t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1094/" TargetMode="External"/><Relationship Id="rId10" Type="http://schemas.openxmlformats.org/officeDocument/2006/relationships/hyperlink" Target="https://library.mededtech.ru/rest/documents/prikazN1094/#list_item_3tc8hl" TargetMode="External"/><Relationship Id="rId11" Type="http://schemas.openxmlformats.org/officeDocument/2006/relationships/hyperlink" Target="https://library.mededtech.ru/rest/documents/prikazN1094/#list_item_sfh81c" TargetMode="External"/><Relationship Id="rId12" Type="http://schemas.openxmlformats.org/officeDocument/2006/relationships/hyperlink" Target="https://library.mededtech.ru/rest/documents/tdN197/" TargetMode="External"/><Relationship Id="rId13" Type="http://schemas.openxmlformats.org/officeDocument/2006/relationships/hyperlink" Target="https://library.mededtech.ru/rest/documents/tdN197/#paragraph_00i0v4" TargetMode="External"/><Relationship Id="rId14" Type="http://schemas.openxmlformats.org/officeDocument/2006/relationships/hyperlink" Target="https://library.mededtech.ru/rest/documents/ISBN9785970442265/?anchor=paragraph_55q684#paragraph_55q684" TargetMode="External"/><Relationship Id="rId15" Type="http://schemas.openxmlformats.org/officeDocument/2006/relationships/hyperlink" Target="https://library.mededtech.ru/rest/documents/tdN197/#paragraph_iim1uj" TargetMode="External"/><Relationship Id="rId16" Type="http://schemas.openxmlformats.org/officeDocument/2006/relationships/hyperlink" Target="https://library.mededtech.ru/rest/documents/ISBN9785970442265/?anchor=paragraph_tkcegv#paragraph_tkcegv" TargetMode="External"/><Relationship Id="rId17" Type="http://schemas.openxmlformats.org/officeDocument/2006/relationships/hyperlink" Target="https://library.mededtech.ru/rest/documents/ISBN9785970442265/?anchor=paragraph_k4gfit#paragraph_k4gfit" TargetMode="External"/><Relationship Id="rId18" Type="http://schemas.openxmlformats.org/officeDocument/2006/relationships/hyperlink" Target="https://library.mededtech.ru/rest/documents/tdN197/#paragraph_72u0so" TargetMode="External"/><Relationship Id="rId19" Type="http://schemas.openxmlformats.org/officeDocument/2006/relationships/hyperlink" Target="https://library.mededtech.ru/rest/documents/ISBN9785970442265/?anchor=paragraph_d0q46t#paragraph_d0q46t" TargetMode="External"/><Relationship Id="rId20" Type="http://schemas.openxmlformats.org/officeDocument/2006/relationships/hyperlink" Target="https://library.mededtech.ru/rest/documents/prikazN647n" TargetMode="External"/><Relationship Id="rId21" Type="http://schemas.openxmlformats.org/officeDocument/2006/relationships/hyperlink" Target="https://library.mededtech.ru/rest/documents/prikazN647n/index.html#paragraph_rfn4bo" TargetMode="External"/><Relationship Id="rId22" Type="http://schemas.openxmlformats.org/officeDocument/2006/relationships/hyperlink" Target="https://library.mededtech.ru/rest/documents/ISBN9785970442265/?anchor=paragraph_me64g4#paragraph_me64g4" TargetMode="External"/><Relationship Id="rId23" Type="http://schemas.openxmlformats.org/officeDocument/2006/relationships/hyperlink" Target="https://library.mededtech.ru/rest/documents/tdN197/#paragraph_85tquq" TargetMode="External"/><Relationship Id="rId24" Type="http://schemas.openxmlformats.org/officeDocument/2006/relationships/hyperlink" Target="https://library.mededtech.ru/rest/documents/ISBN9785970442265/?anchor=paragraph_3i6ibp#paragraph_3i6ibp" TargetMode="External"/><Relationship Id="rId25" Type="http://schemas.openxmlformats.org/officeDocument/2006/relationships/hyperlink" Target="https://library.mededtech.ru/rest/documents/ISBN9785970471753/?anchor=paragraph_7g8obv#paragraph_7g8ob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